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72EE5" w:rsidRDefault="00B63891">
      <w:pPr>
        <w:jc w:val="right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Приложение №1 к Приказу №____ от «__» июня 20</w:t>
      </w:r>
      <w:r w:rsidR="00E16801" w:rsidRPr="00E16801">
        <w:rPr>
          <w:b/>
          <w:bCs/>
          <w:sz w:val="16"/>
          <w:szCs w:val="16"/>
        </w:rPr>
        <w:t>___</w:t>
      </w:r>
      <w:r>
        <w:rPr>
          <w:b/>
          <w:bCs/>
          <w:sz w:val="16"/>
          <w:szCs w:val="16"/>
        </w:rPr>
        <w:t xml:space="preserve"> г.</w:t>
      </w:r>
    </w:p>
    <w:p w:rsidR="00472EE5" w:rsidRDefault="00B63891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ПРАВИЛА</w:t>
      </w:r>
      <w:r>
        <w:rPr>
          <w:rFonts w:ascii="Arial Unicode MS" w:hAnsi="Arial Unicode MS"/>
          <w:sz w:val="16"/>
          <w:szCs w:val="16"/>
        </w:rPr>
        <w:br/>
      </w:r>
      <w:r>
        <w:rPr>
          <w:b/>
          <w:bCs/>
          <w:sz w:val="16"/>
          <w:szCs w:val="16"/>
        </w:rPr>
        <w:t>Утверждены приказом № ___ Генерального директора</w:t>
      </w:r>
      <w:r>
        <w:rPr>
          <w:rFonts w:ascii="Arial Unicode MS" w:hAnsi="Arial Unicode MS"/>
          <w:sz w:val="16"/>
          <w:szCs w:val="16"/>
        </w:rPr>
        <w:br/>
      </w:r>
      <w:r>
        <w:rPr>
          <w:b/>
          <w:bCs/>
          <w:sz w:val="16"/>
          <w:szCs w:val="16"/>
        </w:rPr>
        <w:t>АО «ТАСКОМ» от «__» июня 20</w:t>
      </w:r>
      <w:r w:rsidR="00E16801" w:rsidRPr="00E16801">
        <w:rPr>
          <w:b/>
          <w:bCs/>
          <w:sz w:val="16"/>
          <w:szCs w:val="16"/>
        </w:rPr>
        <w:t>___</w:t>
      </w:r>
      <w:r>
        <w:rPr>
          <w:b/>
          <w:bCs/>
          <w:sz w:val="16"/>
          <w:szCs w:val="16"/>
        </w:rPr>
        <w:t>г.</w:t>
      </w:r>
    </w:p>
    <w:p w:rsidR="00472EE5" w:rsidRDefault="00472EE5">
      <w:pPr>
        <w:jc w:val="center"/>
        <w:rPr>
          <w:b/>
          <w:bCs/>
          <w:sz w:val="16"/>
          <w:szCs w:val="16"/>
        </w:rPr>
      </w:pPr>
    </w:p>
    <w:p w:rsidR="00472EE5" w:rsidRDefault="00472EE5">
      <w:pPr>
        <w:jc w:val="center"/>
        <w:rPr>
          <w:b/>
          <w:bCs/>
          <w:sz w:val="16"/>
          <w:szCs w:val="16"/>
        </w:rPr>
      </w:pPr>
    </w:p>
    <w:p w:rsidR="00472EE5" w:rsidRDefault="00B63891">
      <w:pPr>
        <w:jc w:val="center"/>
        <w:rPr>
          <w:b/>
          <w:bCs/>
        </w:rPr>
      </w:pPr>
      <w:r>
        <w:rPr>
          <w:b/>
          <w:bCs/>
        </w:rPr>
        <w:t>ПРАВИЛА</w:t>
      </w:r>
      <w:r>
        <w:rPr>
          <w:rFonts w:ascii="Arial Unicode MS" w:hAnsi="Arial Unicode MS"/>
        </w:rPr>
        <w:br/>
      </w:r>
      <w:r>
        <w:rPr>
          <w:b/>
          <w:bCs/>
        </w:rPr>
        <w:t>ЦЕНТРАЛИЗОВАННОГО ЗАВОЗА (ВЫВОЗА) ГРУЗОВ АВТОМОБИЛЬНЫМ ТРАНСПОРТОМ НА ТЕРМИНАЛ АО</w:t>
      </w:r>
      <w:r>
        <w:rPr>
          <w:b/>
          <w:bCs/>
        </w:rPr>
        <w:t xml:space="preserve"> «ТАСКОМ»</w:t>
      </w:r>
    </w:p>
    <w:p w:rsidR="00472EE5" w:rsidRDefault="00B63891">
      <w:pPr>
        <w:pStyle w:val="ListParagraph"/>
        <w:numPr>
          <w:ilvl w:val="0"/>
          <w:numId w:val="2"/>
        </w:numPr>
      </w:pPr>
      <w:r>
        <w:t xml:space="preserve">Общие </w:t>
      </w:r>
      <w:r>
        <w:t>положения.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Настоящие Правила регулируют взаимоотношения Сторон, связанные с организацией транспортного процесса по обработке экспортно-импортных грузов, на территории ТЛТ Ворсино.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Автопредприятие принимает на себя обязательства по вывозу грузов, прибывающи</w:t>
      </w:r>
      <w:r>
        <w:t>х на терминал ТЛТ Ворсино (КТ) в адрес обслуживающего автопредприятием Заказчика, а также по завозу в КТ отправляемых этим Заказчиков грузов, КТ производит прием (выдачу) грузов только от аккредитованного Автопредприятия, и только в порядке и сроки, устано</w:t>
      </w:r>
      <w:r>
        <w:t>вленные настоящими правилами.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 xml:space="preserve"> Определения, используемые в настоящих правилах:</w:t>
      </w:r>
    </w:p>
    <w:p w:rsidR="00472EE5" w:rsidRDefault="00B63891">
      <w:pPr>
        <w:pStyle w:val="ListParagraph"/>
        <w:numPr>
          <w:ilvl w:val="0"/>
          <w:numId w:val="4"/>
        </w:numPr>
      </w:pPr>
      <w:r>
        <w:t>Территория ТЛТ Ворсино (КТ) – территория в пределах железнодорожных путейи охранных ограждений, включающая в себя автомобильные подъездные пути, здания и сооружения.  На КТ расп</w:t>
      </w:r>
      <w:r>
        <w:t>оложены пункты пропуска, паркинг, зона таможенного контроля, склады временного хранения. В связи с чем территория КТ является режимной территорией.</w:t>
      </w:r>
    </w:p>
    <w:p w:rsidR="00472EE5" w:rsidRDefault="00B63891">
      <w:pPr>
        <w:pStyle w:val="ListParagraph"/>
        <w:numPr>
          <w:ilvl w:val="0"/>
          <w:numId w:val="4"/>
        </w:numPr>
      </w:pPr>
      <w:r>
        <w:t>Пункт пропуска – объект, включающий в себя сооружения, здания, оборудованные различным технологическим обору</w:t>
      </w:r>
      <w:r>
        <w:t>дованием.</w:t>
      </w:r>
    </w:p>
    <w:p w:rsidR="00472EE5" w:rsidRDefault="00B63891">
      <w:pPr>
        <w:pStyle w:val="ListParagraph"/>
        <w:numPr>
          <w:ilvl w:val="0"/>
          <w:numId w:val="4"/>
        </w:numPr>
      </w:pPr>
      <w:r>
        <w:t>Режим – установленный порядок, правила пребывания и деятельности физических и юридических лиц на территории КТ, предусматривающие выполнение требований законодательства РФ, нормативно правовых актов Министерства Транспорта РФ, Федеральной Таможен</w:t>
      </w:r>
      <w:r>
        <w:t>ной службы РФ, Министерства внутренних дел, трудового распорядка дня организаций, находящихся на данной территории, правил пожарной безопасности.</w:t>
      </w:r>
    </w:p>
    <w:p w:rsidR="00472EE5" w:rsidRDefault="00B63891">
      <w:pPr>
        <w:pStyle w:val="ListParagraph"/>
        <w:numPr>
          <w:ilvl w:val="0"/>
          <w:numId w:val="4"/>
        </w:numPr>
      </w:pPr>
      <w:r>
        <w:t>Пропускная система – комплекс мероприятий, направленных на исключение возможности бесконтрольного входа/выхода</w:t>
      </w:r>
      <w:r>
        <w:t xml:space="preserve"> физических лиц, въезда/выезда транспортных средств, ввоза/вывоза материальных ценностей на /за территорию КТ.</w:t>
      </w:r>
    </w:p>
    <w:p w:rsidR="00472EE5" w:rsidRDefault="00B63891">
      <w:pPr>
        <w:pStyle w:val="ListParagraph"/>
        <w:numPr>
          <w:ilvl w:val="0"/>
          <w:numId w:val="4"/>
        </w:numPr>
        <w:rPr>
          <w:color w:val="FF0000"/>
        </w:rPr>
      </w:pPr>
      <w:r>
        <w:t xml:space="preserve">Аккредитация – процедура регистрации автопредприятия, проводимая в целях реализации требований по охране грузов и технологического оборудования, </w:t>
      </w:r>
      <w:r>
        <w:t>требований таможенного контроля с целью обеспечения надлежащих условий производства таможенного досмотра товаров, транспортных средств.</w:t>
      </w:r>
    </w:p>
    <w:p w:rsidR="00472EE5" w:rsidRDefault="00B63891">
      <w:pPr>
        <w:pStyle w:val="ListParagraph"/>
        <w:numPr>
          <w:ilvl w:val="0"/>
          <w:numId w:val="4"/>
        </w:numPr>
      </w:pPr>
      <w:r>
        <w:t>Инфраструктура КТ – технологический комплекс, включающий в себя автомобильные дороги, автомобильные стоянки, пункты проп</w:t>
      </w:r>
      <w:r>
        <w:t>уска, устройства водоснабжения, электроснабжения, видеонаблюдения, сети связи, системы сигнализации, а также строения, сооружения, здания, устройства и оборудование.</w:t>
      </w:r>
    </w:p>
    <w:p w:rsidR="00472EE5" w:rsidRDefault="00B63891">
      <w:pPr>
        <w:pStyle w:val="ListParagraph"/>
        <w:numPr>
          <w:ilvl w:val="0"/>
          <w:numId w:val="4"/>
        </w:numPr>
      </w:pPr>
      <w:r>
        <w:lastRenderedPageBreak/>
        <w:t>Владелец инфраструктуры – юридическое лицо АО «ТАСКОМ», имеющее инфраструктуру на праве со</w:t>
      </w:r>
      <w:r>
        <w:t>бственности.</w:t>
      </w:r>
    </w:p>
    <w:p w:rsidR="00472EE5" w:rsidRDefault="00B63891">
      <w:pPr>
        <w:pStyle w:val="ListParagraph"/>
        <w:numPr>
          <w:ilvl w:val="0"/>
          <w:numId w:val="4"/>
        </w:numPr>
      </w:pPr>
      <w:r>
        <w:t xml:space="preserve">Правила производства операций – публичный документ, опубликованный на сайте </w:t>
      </w:r>
      <w:hyperlink r:id="rId7" w:history="1">
        <w:r>
          <w:rPr>
            <w:rStyle w:val="Hyperlink0"/>
          </w:rPr>
          <w:t>www</w:t>
        </w:r>
        <w:r>
          <w:rPr>
            <w:rStyle w:val="Link"/>
          </w:rPr>
          <w:t>.</w:t>
        </w:r>
        <w:r>
          <w:rPr>
            <w:rStyle w:val="Hyperlink0"/>
          </w:rPr>
          <w:t>tackom</w:t>
        </w:r>
        <w:r>
          <w:rPr>
            <w:rStyle w:val="Link"/>
          </w:rPr>
          <w:t>.</w:t>
        </w:r>
        <w:r>
          <w:rPr>
            <w:rStyle w:val="Hyperlink0"/>
          </w:rPr>
          <w:t>ru</w:t>
        </w:r>
      </w:hyperlink>
      <w:r>
        <w:t>, регламентирующий правила обработки контейнеров и транспортных средств на КТ. Правила производства операций могут быт</w:t>
      </w:r>
      <w:r>
        <w:t>ь изменены АО «ТАСКОМ» в одностороннем порядке с уведомлением не менее, чем за один месяц до момента вступления в силу новых Правил.</w:t>
      </w:r>
    </w:p>
    <w:p w:rsidR="00472EE5" w:rsidRDefault="00B63891">
      <w:pPr>
        <w:pStyle w:val="ListParagraph"/>
        <w:numPr>
          <w:ilvl w:val="0"/>
          <w:numId w:val="4"/>
        </w:numPr>
      </w:pPr>
      <w:r>
        <w:t xml:space="preserve">Автотранспорт – специализированные автомобили – контейнеровозы, соответствующие стандартам </w:t>
      </w:r>
      <w:r>
        <w:rPr>
          <w:lang w:val="en-US"/>
        </w:rPr>
        <w:t>ISO</w:t>
      </w:r>
      <w:r>
        <w:t>.</w:t>
      </w:r>
    </w:p>
    <w:p w:rsidR="00472EE5" w:rsidRDefault="00B63891">
      <w:pPr>
        <w:pStyle w:val="ListParagraph"/>
        <w:numPr>
          <w:ilvl w:val="0"/>
          <w:numId w:val="4"/>
        </w:numPr>
      </w:pPr>
      <w:r>
        <w:t xml:space="preserve">Заказчик – любое лицо, </w:t>
      </w:r>
      <w:r>
        <w:t>действующее на основании договора с автопредприятием.</w:t>
      </w:r>
    </w:p>
    <w:p w:rsidR="00472EE5" w:rsidRDefault="00B63891">
      <w:pPr>
        <w:pStyle w:val="ListParagraph"/>
        <w:numPr>
          <w:ilvl w:val="0"/>
          <w:numId w:val="4"/>
        </w:numPr>
      </w:pPr>
      <w:r>
        <w:t>Поклажедатель – лицо, действующее на основании договора с КТ.</w:t>
      </w:r>
    </w:p>
    <w:p w:rsidR="00472EE5" w:rsidRDefault="00B63891">
      <w:pPr>
        <w:pStyle w:val="ListParagraph"/>
        <w:numPr>
          <w:ilvl w:val="0"/>
          <w:numId w:val="4"/>
        </w:numPr>
      </w:pPr>
      <w:r>
        <w:t>Автовизит – единичное посещение автотранспорта территории КТ, с целью завоза/вывоза грузов, и, оформленное в соответствии с действующим поря</w:t>
      </w:r>
      <w:r>
        <w:t>дком и правилами.</w:t>
      </w:r>
    </w:p>
    <w:p w:rsidR="00472EE5" w:rsidRDefault="00B63891">
      <w:pPr>
        <w:pStyle w:val="ListParagraph"/>
        <w:numPr>
          <w:ilvl w:val="1"/>
          <w:numId w:val="5"/>
        </w:numPr>
      </w:pPr>
      <w:r>
        <w:t>Обычное время работы КТ – круглосуточно, без выходных (суббота, воскресенье) и праздничных дней, за исключением перерывов в работе с 08:00 – 09:30, с 19:00 – 20:30, и с 31 декабря с 20:00 до 24:00 1 января. Время работы дневных служб КТ с</w:t>
      </w:r>
      <w:r>
        <w:t xml:space="preserve"> 09:00 до 18:00 за исключением праздников и выходных.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Лица, находящиеся на территории КТ, в том числе управляющие транспортными средствами, обязаны соблюдать правила, действующие на территории КТ, и исполнять указания уполномоченного персонала КТ.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Запрещае</w:t>
      </w:r>
      <w:r>
        <w:t>тся использования огня и открытых источников освещения, проведение сварочных работ, ремонтных работ, нахождение в зонах производства работ не связанных с погрузкой/выгрузкой автотранспорта. При проведении погрузочно-разгрузочных работ водитель обязан выйти</w:t>
      </w:r>
      <w:r>
        <w:t xml:space="preserve"> из кабины автотранспорта и находиться в зоне видимости оператора перегрузочного оборудования, запрещается подходить к месту установки/снятия контейнера во время работы перегрузочного оборудования.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Для стоянки автотранспорта отведены специальные места в ст</w:t>
      </w:r>
      <w:r>
        <w:t xml:space="preserve">ороне от путей, по которым происходит движение технологического транспорта КТ. Не допускается занимать подъездные дороги, проезды, переезды, места складирования груза, и железнодорожные пути. Не допускается нахождение автотранспорта на тротуарах, газонах, </w:t>
      </w:r>
      <w:r>
        <w:t xml:space="preserve">прилегающей к КТ территории. </w:t>
      </w:r>
    </w:p>
    <w:p w:rsidR="00472EE5" w:rsidRDefault="00472EE5">
      <w:pPr>
        <w:pStyle w:val="ListParagraph"/>
      </w:pPr>
    </w:p>
    <w:p w:rsidR="00472EE5" w:rsidRDefault="00B63891">
      <w:pPr>
        <w:pStyle w:val="ListParagraph"/>
        <w:numPr>
          <w:ilvl w:val="0"/>
          <w:numId w:val="6"/>
        </w:numPr>
      </w:pPr>
      <w:r>
        <w:t>Порядок и условия аккредитации.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 xml:space="preserve">Аккредитация автопредприятия производится в целях повышения эффективности пункта пропуска, </w:t>
      </w:r>
      <w:r>
        <w:t>формирования учетной информации и упорядочивания деятельности автоперевозчиков при осуществлении централизованного завоза (вывоза) грузов автомобильным транспортом на КТ.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Условия аккредитации авто транспорта:</w:t>
      </w:r>
    </w:p>
    <w:p w:rsidR="00472EE5" w:rsidRDefault="00B63891">
      <w:pPr>
        <w:pStyle w:val="ListParagraph"/>
        <w:numPr>
          <w:ilvl w:val="0"/>
          <w:numId w:val="8"/>
        </w:numPr>
      </w:pPr>
      <w:r>
        <w:t>Претендентом может быть любой хозяйствующий суб</w:t>
      </w:r>
      <w:r>
        <w:t>ъект, зарегистрированный в соответствии с законодательством РФ;</w:t>
      </w:r>
    </w:p>
    <w:p w:rsidR="00472EE5" w:rsidRDefault="00B63891">
      <w:pPr>
        <w:pStyle w:val="ListParagraph"/>
        <w:numPr>
          <w:ilvl w:val="0"/>
          <w:numId w:val="8"/>
        </w:numPr>
      </w:pPr>
      <w:r>
        <w:lastRenderedPageBreak/>
        <w:t>Возможность Претендента использовать интернет ресурс КТ;</w:t>
      </w:r>
    </w:p>
    <w:p w:rsidR="00472EE5" w:rsidRDefault="00B63891">
      <w:pPr>
        <w:pStyle w:val="ListParagraph"/>
        <w:numPr>
          <w:ilvl w:val="0"/>
          <w:numId w:val="8"/>
        </w:numPr>
      </w:pPr>
      <w:r>
        <w:t>Наличие автотранспорта;</w:t>
      </w:r>
    </w:p>
    <w:p w:rsidR="00472EE5" w:rsidRDefault="00B63891">
      <w:pPr>
        <w:pStyle w:val="ListParagraph"/>
        <w:numPr>
          <w:ilvl w:val="0"/>
          <w:numId w:val="8"/>
        </w:numPr>
      </w:pPr>
      <w:r>
        <w:t>Наличие согласования с СБ КТ на допуск водителя претендента на территорию КТ;</w:t>
      </w:r>
    </w:p>
    <w:p w:rsidR="00472EE5" w:rsidRDefault="00B63891">
      <w:pPr>
        <w:pStyle w:val="ListParagraph"/>
        <w:numPr>
          <w:ilvl w:val="1"/>
          <w:numId w:val="9"/>
        </w:numPr>
      </w:pPr>
      <w:r>
        <w:t>Для аккредитации претендент долже</w:t>
      </w:r>
      <w:r>
        <w:t>н предоставить заявление с приложением документов, указанных в Приложение №1 к настоящим Правилам.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 xml:space="preserve">Заявление должно быть подписано уполномоченным лицом и заверено печатью (при ее наличии). В заявлении должны быть указаны Ф.И.О., адрес, телефон контактного </w:t>
      </w:r>
      <w:r>
        <w:t>лица.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При несоответствии заявки условиям аккредитации, изложенным в п.2.2 настоящих Правил, либо предоставление недостоверной или искаженной информации, принимается решение об отказе в аккредитации данного претендента.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Претендент имеет право на повторное р</w:t>
      </w:r>
      <w:r>
        <w:t>ассмотрение заявления при условии устранения причин, повлекших принятие решения об отказе.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При соответствии претендента всем условиям, изложенным в п.2.2 настоящих Правил, принимается решение об аккредитации претендента. Претенденту присваивается регистрац</w:t>
      </w:r>
      <w:r>
        <w:t>ионный номер.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Решение о сроках действия аккредитации принимается рабочей группой. При первом обращении претендента аккредитация действует в течение одного года.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Если в течение срока действия аккредитации в рабочую группу не поступило претензий к аккредитов</w:t>
      </w:r>
      <w:r>
        <w:t>анной компании, допускается утверждение срока аккредитации до трех лет.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Аккредитация может быть отозвана по следующим основаниям:</w:t>
      </w:r>
    </w:p>
    <w:p w:rsidR="00472EE5" w:rsidRDefault="00B63891">
      <w:pPr>
        <w:pStyle w:val="ListParagraph"/>
        <w:ind w:left="1080"/>
      </w:pPr>
      <w:r>
        <w:t>В связи с прекращением деятельности аккредитованного лица;</w:t>
      </w:r>
    </w:p>
    <w:p w:rsidR="00472EE5" w:rsidRDefault="00B63891">
      <w:pPr>
        <w:pStyle w:val="ListParagraph"/>
        <w:ind w:left="1080"/>
      </w:pPr>
      <w:r>
        <w:t>В связи с грубым или неоднократным нарушением аккредитованного лица</w:t>
      </w:r>
      <w:r>
        <w:t xml:space="preserve"> настоящих Правил;</w:t>
      </w:r>
    </w:p>
    <w:p w:rsidR="00472EE5" w:rsidRDefault="00B63891">
      <w:pPr>
        <w:pStyle w:val="ListParagraph"/>
        <w:ind w:left="1080"/>
      </w:pPr>
      <w:r>
        <w:t>По инициативе аккредитованного лица;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Аккредитация автопредприятия является основанием для подписания Соглашения на централизованный завоз (вывоз) грузов автомобильным транспортом на КТ.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Информация об аккредитованных предприятиях является</w:t>
      </w:r>
      <w:r>
        <w:t xml:space="preserve"> открытой для всеобщего ознакомления на официальной странице АО «ТАСКОМ» в сети интернет (</w:t>
      </w:r>
      <w:r>
        <w:rPr>
          <w:lang w:val="en-US"/>
        </w:rPr>
        <w:t>www</w:t>
      </w:r>
      <w:r>
        <w:t>/</w:t>
      </w:r>
      <w:r>
        <w:rPr>
          <w:lang w:val="en-US"/>
        </w:rPr>
        <w:t>tackom</w:t>
      </w:r>
      <w:r>
        <w:t>.</w:t>
      </w:r>
      <w:r>
        <w:rPr>
          <w:lang w:val="en-US"/>
        </w:rPr>
        <w:t>ru</w:t>
      </w:r>
      <w:r>
        <w:t>).</w:t>
      </w:r>
    </w:p>
    <w:p w:rsidR="00472EE5" w:rsidRDefault="00B63891">
      <w:pPr>
        <w:pStyle w:val="ListParagraph"/>
        <w:ind w:left="1080"/>
      </w:pPr>
      <w:r>
        <w:t xml:space="preserve">  </w:t>
      </w:r>
    </w:p>
    <w:p w:rsidR="00472EE5" w:rsidRDefault="00B63891">
      <w:pPr>
        <w:pStyle w:val="ListParagraph"/>
        <w:numPr>
          <w:ilvl w:val="0"/>
          <w:numId w:val="10"/>
        </w:numPr>
      </w:pPr>
      <w:r>
        <w:t>Обязанности сторон.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КТ обязуется:</w:t>
      </w:r>
    </w:p>
    <w:p w:rsidR="00472EE5" w:rsidRDefault="00B63891">
      <w:pPr>
        <w:pStyle w:val="ListParagraph"/>
        <w:numPr>
          <w:ilvl w:val="2"/>
          <w:numId w:val="12"/>
        </w:numPr>
      </w:pPr>
      <w:r>
        <w:t>Содержать подъездные пути к пунктам погрузки и выгрузки, а также погрузо – разгрузочные площадки в исправном сост</w:t>
      </w:r>
      <w:r>
        <w:t xml:space="preserve">оянии, обеспечивающем круглосуточное осуществление перевозок, беспрепятственное и безопасное движение; обеспечить освещение рабочих мест и подъездных путей к ним при </w:t>
      </w:r>
      <w:r>
        <w:lastRenderedPageBreak/>
        <w:t>работе в темное время суток, а также необходимые для погрузки приспособления и вспомогател</w:t>
      </w:r>
      <w:r>
        <w:t>ьные материалы.</w:t>
      </w:r>
    </w:p>
    <w:p w:rsidR="00472EE5" w:rsidRDefault="00B63891">
      <w:pPr>
        <w:pStyle w:val="ListParagraph"/>
        <w:numPr>
          <w:ilvl w:val="2"/>
          <w:numId w:val="12"/>
        </w:numPr>
      </w:pPr>
      <w:r>
        <w:t>Обеспечить погрузку (выгрузку) автотранспорта и предоставление инфраструктуры КТ в соответствии с оформленным автовизитом.</w:t>
      </w:r>
    </w:p>
    <w:p w:rsidR="00472EE5" w:rsidRDefault="00B63891">
      <w:pPr>
        <w:pStyle w:val="ListParagraph"/>
        <w:numPr>
          <w:ilvl w:val="2"/>
          <w:numId w:val="12"/>
        </w:numPr>
      </w:pPr>
      <w:r>
        <w:t xml:space="preserve">Осуществлять передачу диспетчерской службе автопредприятия достоверной информации о движении автотранспорта, </w:t>
      </w:r>
      <w:r>
        <w:t>необходимой для контроля за его движением. Своевременно извещать Автопредприятие о нарушении сроков или невозможности проведения погрузо–разгрузочных работ, в случае возникновения перебоев работе или обстоятельств, не позволяющих произвести погрузку или вы</w:t>
      </w:r>
      <w:r>
        <w:t xml:space="preserve">грузку автотранспорта. </w:t>
      </w:r>
    </w:p>
    <w:p w:rsidR="00472EE5" w:rsidRDefault="00B63891">
      <w:pPr>
        <w:pStyle w:val="ListParagraph"/>
        <w:numPr>
          <w:ilvl w:val="1"/>
          <w:numId w:val="13"/>
        </w:numPr>
      </w:pPr>
      <w:r>
        <w:t>Автопредприятие обязуется:</w:t>
      </w:r>
    </w:p>
    <w:p w:rsidR="00472EE5" w:rsidRDefault="00B63891">
      <w:pPr>
        <w:pStyle w:val="ListParagraph"/>
        <w:ind w:left="1080"/>
      </w:pPr>
      <w:r>
        <w:t>3.2.1 В течение автовизитов обеспечить строгое исполнение требований, предусмотренных настоящими Правилами и следующими документами:</w:t>
      </w:r>
    </w:p>
    <w:p w:rsidR="00472EE5" w:rsidRDefault="00B63891">
      <w:pPr>
        <w:pStyle w:val="ListParagraph"/>
        <w:numPr>
          <w:ilvl w:val="0"/>
          <w:numId w:val="15"/>
        </w:numPr>
      </w:pPr>
      <w:r>
        <w:t>Инструкцией о пропускном и внутри объектном режиме на территории КТ;</w:t>
      </w:r>
    </w:p>
    <w:p w:rsidR="00472EE5" w:rsidRDefault="00B63891">
      <w:pPr>
        <w:pStyle w:val="ListParagraph"/>
        <w:numPr>
          <w:ilvl w:val="0"/>
          <w:numId w:val="15"/>
        </w:numPr>
      </w:pPr>
      <w:r>
        <w:t>Пра</w:t>
      </w:r>
      <w:r>
        <w:t>вила перевозки грузов автомобильным транспортом;</w:t>
      </w:r>
    </w:p>
    <w:p w:rsidR="00472EE5" w:rsidRDefault="00B63891">
      <w:pPr>
        <w:pStyle w:val="ListParagraph"/>
        <w:numPr>
          <w:ilvl w:val="0"/>
          <w:numId w:val="15"/>
        </w:numPr>
      </w:pPr>
      <w:r>
        <w:t>Нормативными актами органов Государственного (таможенного, ветеринарного, санитарного)</w:t>
      </w:r>
    </w:p>
    <w:p w:rsidR="00472EE5" w:rsidRDefault="00B63891">
      <w:pPr>
        <w:pStyle w:val="ListParagraph"/>
        <w:ind w:left="1080"/>
      </w:pPr>
      <w:r>
        <w:t>3.2.2  Осуществлять подачу транспорта для погрузки (выгрузки) груза в соответствии с подтвержденным автовизитом.</w:t>
      </w:r>
    </w:p>
    <w:p w:rsidR="00472EE5" w:rsidRDefault="00B63891">
      <w:pPr>
        <w:pStyle w:val="ListParagraph"/>
        <w:ind w:left="1080"/>
      </w:pPr>
      <w:r>
        <w:t>3.2.3 О</w:t>
      </w:r>
      <w:r>
        <w:t>существлять парковку транспорта (как в груженом, так и в порожнем состоянии) в режиме ожидания оформления грузов в специально отведенных для парковки площадках.</w:t>
      </w:r>
    </w:p>
    <w:p w:rsidR="00472EE5" w:rsidRDefault="00B63891">
      <w:pPr>
        <w:pStyle w:val="ListParagraph"/>
        <w:ind w:left="1080"/>
      </w:pPr>
      <w:r>
        <w:t>3.2.4 Соблюдать правила дорожного движения и схему движения (Приложение №2) по территории КТ; с</w:t>
      </w:r>
      <w:r>
        <w:t>облюдать приоритетность движения технологического транспорта; соблюдать правила безопасности и пропускную систему, действующие на территории; подчиняться командам сотрудников КТ.</w:t>
      </w:r>
    </w:p>
    <w:p w:rsidR="00472EE5" w:rsidRDefault="00B63891">
      <w:pPr>
        <w:pStyle w:val="ListParagraph"/>
        <w:ind w:left="1080"/>
      </w:pPr>
      <w:r>
        <w:t>3.2.5 Запрещается остановка и стоянка автотранспорта в радиусе 1 км от въезда</w:t>
      </w:r>
      <w:r>
        <w:t xml:space="preserve"> на территорию КТ;</w:t>
      </w:r>
    </w:p>
    <w:p w:rsidR="00472EE5" w:rsidRDefault="00B63891">
      <w:pPr>
        <w:pStyle w:val="ListParagraph"/>
        <w:ind w:left="1080"/>
      </w:pPr>
      <w:r>
        <w:t>3.2.5 Обеспечить выезд автотранспорта с территории КТ не позднее, чем через 1 час с момента завершения грузовых операций.</w:t>
      </w:r>
    </w:p>
    <w:p w:rsidR="00472EE5" w:rsidRDefault="00B63891">
      <w:pPr>
        <w:pStyle w:val="ListParagraph"/>
        <w:ind w:left="1080"/>
      </w:pPr>
      <w:r>
        <w:t>3.2.6 Проводить процедуру регистрации автотранспорта, оперируемого Автопредприятием, в порядке, утвержденном КТ.</w:t>
      </w:r>
    </w:p>
    <w:p w:rsidR="00472EE5" w:rsidRDefault="00472EE5">
      <w:pPr>
        <w:pStyle w:val="ListParagraph"/>
        <w:ind w:left="1080"/>
      </w:pPr>
    </w:p>
    <w:p w:rsidR="00472EE5" w:rsidRDefault="00472EE5">
      <w:pPr>
        <w:pStyle w:val="ListParagraph"/>
        <w:ind w:left="1080"/>
      </w:pPr>
    </w:p>
    <w:p w:rsidR="00472EE5" w:rsidRDefault="00B63891">
      <w:pPr>
        <w:pStyle w:val="ListParagraph"/>
        <w:numPr>
          <w:ilvl w:val="0"/>
          <w:numId w:val="16"/>
        </w:numPr>
        <w:jc w:val="center"/>
      </w:pPr>
      <w:r>
        <w:t>Порядок и условия исполнения Правил.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Обработка автотранспорта производится в специально выделенных для этого местах, по существующей на КТ технологии.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 xml:space="preserve">Планирование обработки автотранспорта осуществляется на основе Сменно-суточного плана работы КТ с учетом </w:t>
      </w:r>
      <w:r>
        <w:t>производственных возможностей и оперативной ситуации по загрузке/выгрузке железнодорожных составов.</w:t>
      </w:r>
    </w:p>
    <w:p w:rsidR="00472EE5" w:rsidRDefault="00B63891">
      <w:pPr>
        <w:pStyle w:val="ListParagraph"/>
        <w:numPr>
          <w:ilvl w:val="1"/>
          <w:numId w:val="2"/>
        </w:numPr>
      </w:pPr>
      <w:r>
        <w:lastRenderedPageBreak/>
        <w:t>Сменно-суточный план составляется на плановые сутки с 16:00 текущих до 16:00 следующих суток, на основании: заявок Заказчиков, прибытия/убытия железнодорожн</w:t>
      </w:r>
      <w:r>
        <w:t>ых составов, фактического исполнения Сменно-суточного плана за прошедшие сутки.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Подача автотранспорта под погрузку (выгрузку) производится по временным интервалам-слотам или сменам. Каждый слот представляет собой промежуток времени и максимальное количеств</w:t>
      </w:r>
      <w:r>
        <w:t>о машин, которые могут быть обработаны в это время – емкость слота. Для каждой смены отдельно выделяются емкости для операций по ввозу и вывозу груженных контейнеров и порожних контейнеров.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Отдел планирования КТ определяет на ближайшие двое суток количеств</w:t>
      </w:r>
      <w:r>
        <w:t>о автовизитов (отдельно по каждому виду груза – экспортного, импортного, порожних контейнеров), которые могут быть обработаны и распределяет их по сменам. Информация о количестве свободных автовизитов (слотов) в каждой смене на ближайшие двое суток являетс</w:t>
      </w:r>
      <w:r>
        <w:t>я публичной и размещается на сайте МЦИАС и на интернет портале АО Таском.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Формирование автовизита в информационной системе происходит путем согласования времени подачи автотранспорта, т.е. выбора даты и временного интервала обработки автотранспорта. В случ</w:t>
      </w:r>
      <w:r>
        <w:t>ае, если количество автовизитов в желаемое время исчерпано, выбирается следующий свободный период (слот) обработки автотранспорта. Автовизит должен быть оформлен предварительно, до заезда транспорта на территорию КТ.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При оформлении автовизита, кроме номера</w:t>
      </w:r>
      <w:r>
        <w:t xml:space="preserve"> контейнера указывается:</w:t>
      </w:r>
    </w:p>
    <w:p w:rsidR="00472EE5" w:rsidRDefault="00B63891">
      <w:pPr>
        <w:pStyle w:val="ListParagraph"/>
        <w:numPr>
          <w:ilvl w:val="0"/>
          <w:numId w:val="18"/>
        </w:numPr>
      </w:pPr>
      <w:r>
        <w:t>Полная информация о транспортном средстве (гос. номер автомобиля, Ф.И.О. водителя и реквизиты его удостоверяющего личность документа), при этом водитель и машина выбираются из списка автотранспортных средств аккредитованных Автопре</w:t>
      </w:r>
      <w:r>
        <w:t>дприятий, имеющих соглашение с КТ).</w:t>
      </w:r>
    </w:p>
    <w:p w:rsidR="00472EE5" w:rsidRDefault="00B63891">
      <w:pPr>
        <w:pStyle w:val="ListParagraph"/>
        <w:numPr>
          <w:ilvl w:val="0"/>
          <w:numId w:val="18"/>
        </w:numPr>
      </w:pPr>
      <w:r>
        <w:t xml:space="preserve">Либо только Автопредприятие, имеющее соглашение с КТ, при этом всю недостающую информацию необходимо ввести в информационную систему до момента въезда машины на КТ. </w:t>
      </w:r>
    </w:p>
    <w:p w:rsidR="00472EE5" w:rsidRDefault="00B63891">
      <w:pPr>
        <w:pStyle w:val="ListParagraph"/>
        <w:numPr>
          <w:ilvl w:val="1"/>
          <w:numId w:val="19"/>
        </w:numPr>
      </w:pPr>
      <w:r>
        <w:t xml:space="preserve">Автотранспорт пересекает проходную на основании кода </w:t>
      </w:r>
      <w:r>
        <w:t>автовизита, полученного из информационной системы после оформления автовизита.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Автотранспорт, оказавшийся на прилегающей к КТ территории, должен иметь код автовизита и знать время подачи. Эти данные в любой момент могут быть проверены в информационной сист</w:t>
      </w:r>
      <w:r>
        <w:t>еме КТ. Нахождение автотранспорта на прилегающей к КТ территории без оформленного автовизита, является нарушением данных правил.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Если транспорт не подается в заявленный интервал (слот) времени (не регистрируется на пропускном пункте КТ, автовизит аннулируе</w:t>
      </w:r>
      <w:r>
        <w:t>тся и Заказчик должен заново оформлять его без каких либо преференций со стороны КТ.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Визит на вывоз груженного контейнера оформляется на определенный номер контейнера, имеющий разрешение на выпуск, как со стороны Поклажедателя, так и со стороны КТ (таможен</w:t>
      </w:r>
      <w:r>
        <w:t>ных служб, внутренних служб терминал). Оформленный визит не возможно изменить без отмены всего визита и, соответственно, высвобождения места в соответствующем временном интервале (слоте).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При создании автовизита на завоз порожнего контейнера, выдается инфо</w:t>
      </w:r>
      <w:r>
        <w:t xml:space="preserve">рмация о наличии свободного места в штабелях владельца контейнера, в соответствии с </w:t>
      </w:r>
      <w:r>
        <w:lastRenderedPageBreak/>
        <w:t>которой выбирается возможное время сдачи. В случае, если квота контейнеровладельца выбрана полностью и КТ не принимает контейнер, производится переадресация выгрузки.</w:t>
      </w:r>
    </w:p>
    <w:p w:rsidR="00472EE5" w:rsidRDefault="00472EE5">
      <w:pPr>
        <w:pStyle w:val="ListParagraph"/>
        <w:ind w:left="1080"/>
      </w:pPr>
    </w:p>
    <w:p w:rsidR="00472EE5" w:rsidRDefault="00B63891">
      <w:pPr>
        <w:pStyle w:val="ListParagraph"/>
        <w:numPr>
          <w:ilvl w:val="0"/>
          <w:numId w:val="20"/>
        </w:numPr>
      </w:pPr>
      <w:r>
        <w:t>Закл</w:t>
      </w:r>
      <w:r>
        <w:t>ючительные положения.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В случае грубого или неоднократного нарушения настоящих Правил Автопредприятием, либо его субподрядчиком, КТ в праве производить блокировку обработки автотранспорта сроком до 6 месяцев.</w:t>
      </w:r>
    </w:p>
    <w:p w:rsidR="00472EE5" w:rsidRDefault="00B63891">
      <w:pPr>
        <w:pStyle w:val="ListParagraph"/>
        <w:numPr>
          <w:ilvl w:val="1"/>
          <w:numId w:val="2"/>
        </w:numPr>
      </w:pPr>
      <w:r>
        <w:t>Настоящие правила вступаю в силу с __.__.20</w:t>
      </w:r>
      <w:r w:rsidR="00E16801" w:rsidRPr="00E16801">
        <w:t>___</w:t>
      </w:r>
      <w:r>
        <w:t xml:space="preserve"> г.</w:t>
      </w:r>
    </w:p>
    <w:p w:rsidR="00472EE5" w:rsidRDefault="00B63891">
      <w:pPr>
        <w:pStyle w:val="ListParagraph"/>
        <w:numPr>
          <w:ilvl w:val="1"/>
          <w:numId w:val="2"/>
        </w:numPr>
        <w:sectPr w:rsidR="00472EE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34" w:right="850" w:bottom="1134" w:left="1701" w:header="708" w:footer="708" w:gutter="0"/>
          <w:cols w:space="720"/>
        </w:sectPr>
      </w:pPr>
      <w:r>
        <w:t xml:space="preserve">Официальный текст настоящих Правил, все изменения и дополнения к ним размещаются в сети интернет по адресу </w:t>
      </w:r>
      <w:hyperlink r:id="rId14" w:history="1">
        <w:r>
          <w:rPr>
            <w:rStyle w:val="Hyperlink0"/>
          </w:rPr>
          <w:t>www</w:t>
        </w:r>
        <w:r>
          <w:rPr>
            <w:rStyle w:val="Link"/>
          </w:rPr>
          <w:t>.</w:t>
        </w:r>
        <w:r>
          <w:rPr>
            <w:rStyle w:val="Hyperlink0"/>
          </w:rPr>
          <w:t>mcais</w:t>
        </w:r>
        <w:r>
          <w:rPr>
            <w:rStyle w:val="Link"/>
          </w:rPr>
          <w:t>.</w:t>
        </w:r>
        <w:r>
          <w:rPr>
            <w:rStyle w:val="Hyperlink0"/>
          </w:rPr>
          <w:t>ru</w:t>
        </w:r>
      </w:hyperlink>
      <w:r>
        <w:t xml:space="preserve"> на русском языке. Т</w:t>
      </w:r>
      <w:r>
        <w:t>ексты на других языках могут быть размещены только в целях удобства пользования документом</w:t>
      </w:r>
    </w:p>
    <w:p w:rsidR="00472EE5" w:rsidRDefault="00472EE5">
      <w:pPr>
        <w:sectPr w:rsidR="00472EE5">
          <w:type w:val="continuous"/>
          <w:pgSz w:w="11900" w:h="16840"/>
          <w:pgMar w:top="1134" w:right="850" w:bottom="1134" w:left="1701" w:header="708" w:footer="708" w:gutter="0"/>
          <w:cols w:space="720"/>
        </w:sectPr>
      </w:pPr>
    </w:p>
    <w:p w:rsidR="00472EE5" w:rsidRDefault="00B63891">
      <w:pPr>
        <w:sectPr w:rsidR="00472EE5">
          <w:type w:val="continuous"/>
          <w:pgSz w:w="11900" w:h="16840"/>
          <w:pgMar w:top="1134" w:right="850" w:bottom="1134" w:left="1701" w:header="708" w:footer="708" w:gutter="0"/>
          <w:cols w:space="720"/>
        </w:sectPr>
      </w:pPr>
      <w:r>
        <w:t xml:space="preserve">               </w:t>
      </w:r>
    </w:p>
    <w:p w:rsidR="00472EE5" w:rsidRDefault="00B63891">
      <w:bookmarkStart w:id="0" w:name="_GoBack"/>
      <w:bookmarkEnd w:id="0"/>
      <w:r>
        <w:t xml:space="preserve">               Генеральный директор </w:t>
      </w:r>
    </w:p>
    <w:p w:rsidR="00472EE5" w:rsidRDefault="00B63891">
      <w:pPr>
        <w:pStyle w:val="ListParagraph"/>
      </w:pPr>
      <w:r>
        <w:t xml:space="preserve">ООО «______________»                                                                     </w:t>
      </w:r>
      <w:r>
        <w:t xml:space="preserve">      ____________________</w:t>
      </w:r>
    </w:p>
    <w:sectPr w:rsidR="00472EE5">
      <w:type w:val="continuous"/>
      <w:pgSz w:w="11900" w:h="16840"/>
      <w:pgMar w:top="1134" w:right="850" w:bottom="1134" w:left="1701" w:header="708" w:footer="708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891" w:rsidRDefault="00B63891">
      <w:pPr>
        <w:spacing w:after="0" w:line="240" w:lineRule="auto"/>
      </w:pPr>
      <w:r>
        <w:separator/>
      </w:r>
    </w:p>
  </w:endnote>
  <w:endnote w:type="continuationSeparator" w:id="0">
    <w:p w:rsidR="00B63891" w:rsidRDefault="00B6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01" w:rsidRDefault="00E168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EE5" w:rsidRDefault="00472EE5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01" w:rsidRDefault="00E168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891" w:rsidRDefault="00B63891">
      <w:pPr>
        <w:spacing w:after="0" w:line="240" w:lineRule="auto"/>
      </w:pPr>
      <w:r>
        <w:separator/>
      </w:r>
    </w:p>
  </w:footnote>
  <w:footnote w:type="continuationSeparator" w:id="0">
    <w:p w:rsidR="00B63891" w:rsidRDefault="00B63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01" w:rsidRDefault="00E168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EE5" w:rsidRDefault="00472EE5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801" w:rsidRDefault="00E168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5164E"/>
    <w:multiLevelType w:val="multilevel"/>
    <w:tmpl w:val="A17A544C"/>
    <w:styleLink w:val="ImportedStyle1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88720DC"/>
    <w:multiLevelType w:val="multilevel"/>
    <w:tmpl w:val="0CA46EC6"/>
    <w:numStyleLink w:val="ImportedStyle4"/>
  </w:abstractNum>
  <w:abstractNum w:abstractNumId="2" w15:restartNumberingAfterBreak="0">
    <w:nsid w:val="24773021"/>
    <w:multiLevelType w:val="multilevel"/>
    <w:tmpl w:val="0CA46EC6"/>
    <w:styleLink w:val="ImportedStyle4"/>
    <w:lvl w:ilvl="0">
      <w:start w:val="1"/>
      <w:numFmt w:val="decimal"/>
      <w:lvlText w:val="%1."/>
      <w:lvlJc w:val="left"/>
      <w:pPr>
        <w:ind w:left="444" w:hanging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984" w:hanging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80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23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37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468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52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576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9F84968"/>
    <w:multiLevelType w:val="hybridMultilevel"/>
    <w:tmpl w:val="A168AE96"/>
    <w:styleLink w:val="ImportedStyle3"/>
    <w:lvl w:ilvl="0" w:tplc="6472D15A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BE9940">
      <w:start w:val="1"/>
      <w:numFmt w:val="bullet"/>
      <w:lvlText w:val="o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0ADBAC">
      <w:start w:val="1"/>
      <w:numFmt w:val="bullet"/>
      <w:lvlText w:val="▪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E657A6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1EB8E2">
      <w:start w:val="1"/>
      <w:numFmt w:val="bullet"/>
      <w:lvlText w:val="o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EA99B0">
      <w:start w:val="1"/>
      <w:numFmt w:val="bullet"/>
      <w:lvlText w:val="▪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B0943C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32096A">
      <w:start w:val="1"/>
      <w:numFmt w:val="bullet"/>
      <w:lvlText w:val="o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A430D2">
      <w:start w:val="1"/>
      <w:numFmt w:val="bullet"/>
      <w:lvlText w:val="▪"/>
      <w:lvlJc w:val="left"/>
      <w:pPr>
        <w:ind w:left="75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AC051DB"/>
    <w:multiLevelType w:val="hybridMultilevel"/>
    <w:tmpl w:val="8274FFAE"/>
    <w:numStyleLink w:val="ImportedStyle5"/>
  </w:abstractNum>
  <w:abstractNum w:abstractNumId="5" w15:restartNumberingAfterBreak="0">
    <w:nsid w:val="3E23763E"/>
    <w:multiLevelType w:val="hybridMultilevel"/>
    <w:tmpl w:val="7BD4E170"/>
    <w:numStyleLink w:val="ImportedStyle6"/>
  </w:abstractNum>
  <w:abstractNum w:abstractNumId="6" w15:restartNumberingAfterBreak="0">
    <w:nsid w:val="420B503C"/>
    <w:multiLevelType w:val="hybridMultilevel"/>
    <w:tmpl w:val="8274FFAE"/>
    <w:styleLink w:val="ImportedStyle5"/>
    <w:lvl w:ilvl="0" w:tplc="6B3092DC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BC1874">
      <w:start w:val="1"/>
      <w:numFmt w:val="bullet"/>
      <w:lvlText w:val="o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D0E964">
      <w:start w:val="1"/>
      <w:numFmt w:val="bullet"/>
      <w:lvlText w:val="▪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02066E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EC6238">
      <w:start w:val="1"/>
      <w:numFmt w:val="bullet"/>
      <w:lvlText w:val="o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DC2540">
      <w:start w:val="1"/>
      <w:numFmt w:val="bullet"/>
      <w:lvlText w:val="▪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D4C5B2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ACC426">
      <w:start w:val="1"/>
      <w:numFmt w:val="bullet"/>
      <w:lvlText w:val="o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0A5AF2">
      <w:start w:val="1"/>
      <w:numFmt w:val="bullet"/>
      <w:lvlText w:val="▪"/>
      <w:lvlJc w:val="left"/>
      <w:pPr>
        <w:ind w:left="75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5093F50"/>
    <w:multiLevelType w:val="hybridMultilevel"/>
    <w:tmpl w:val="5234FE2E"/>
    <w:styleLink w:val="ImportedStyle2"/>
    <w:lvl w:ilvl="0" w:tplc="BC5ED812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E48518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229080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0AFA9C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F42174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8C6F76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E414F6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AC8282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10B8BE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025432D"/>
    <w:multiLevelType w:val="hybridMultilevel"/>
    <w:tmpl w:val="A168AE96"/>
    <w:numStyleLink w:val="ImportedStyle3"/>
  </w:abstractNum>
  <w:abstractNum w:abstractNumId="9" w15:restartNumberingAfterBreak="0">
    <w:nsid w:val="605E31E4"/>
    <w:multiLevelType w:val="hybridMultilevel"/>
    <w:tmpl w:val="5234FE2E"/>
    <w:numStyleLink w:val="ImportedStyle2"/>
  </w:abstractNum>
  <w:abstractNum w:abstractNumId="10" w15:restartNumberingAfterBreak="0">
    <w:nsid w:val="7CD54469"/>
    <w:multiLevelType w:val="hybridMultilevel"/>
    <w:tmpl w:val="7BD4E170"/>
    <w:styleLink w:val="ImportedStyle6"/>
    <w:lvl w:ilvl="0" w:tplc="0BF891EC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06FB2C">
      <w:start w:val="1"/>
      <w:numFmt w:val="bullet"/>
      <w:lvlText w:val="o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F2BE2A">
      <w:start w:val="1"/>
      <w:numFmt w:val="bullet"/>
      <w:lvlText w:val="▪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1C88F4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529FBE">
      <w:start w:val="1"/>
      <w:numFmt w:val="bullet"/>
      <w:lvlText w:val="o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F04D80">
      <w:start w:val="1"/>
      <w:numFmt w:val="bullet"/>
      <w:lvlText w:val="▪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EA3B1E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F20C78">
      <w:start w:val="1"/>
      <w:numFmt w:val="bullet"/>
      <w:lvlText w:val="o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026EE6">
      <w:start w:val="1"/>
      <w:numFmt w:val="bullet"/>
      <w:lvlText w:val="▪"/>
      <w:lvlJc w:val="left"/>
      <w:pPr>
        <w:ind w:left="75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D9A4F88"/>
    <w:multiLevelType w:val="multilevel"/>
    <w:tmpl w:val="A17A544C"/>
    <w:numStyleLink w:val="ImportedStyle1"/>
  </w:abstractNum>
  <w:num w:numId="1">
    <w:abstractNumId w:val="0"/>
  </w:num>
  <w:num w:numId="2">
    <w:abstractNumId w:val="11"/>
  </w:num>
  <w:num w:numId="3">
    <w:abstractNumId w:val="7"/>
  </w:num>
  <w:num w:numId="4">
    <w:abstractNumId w:val="9"/>
  </w:num>
  <w:num w:numId="5">
    <w:abstractNumId w:val="11"/>
    <w:lvlOverride w:ilvl="1">
      <w:startOverride w:val="4"/>
    </w:lvlOverride>
  </w:num>
  <w:num w:numId="6">
    <w:abstractNumId w:val="11"/>
    <w:lvlOverride w:ilvl="0">
      <w:startOverride w:val="2"/>
    </w:lvlOverride>
  </w:num>
  <w:num w:numId="7">
    <w:abstractNumId w:val="3"/>
  </w:num>
  <w:num w:numId="8">
    <w:abstractNumId w:val="8"/>
  </w:num>
  <w:num w:numId="9">
    <w:abstractNumId w:val="11"/>
    <w:lvlOverride w:ilvl="1">
      <w:startOverride w:val="3"/>
    </w:lvlOverride>
  </w:num>
  <w:num w:numId="10">
    <w:abstractNumId w:val="11"/>
    <w:lvlOverride w:ilvl="0">
      <w:startOverride w:val="3"/>
    </w:lvlOverride>
  </w:num>
  <w:num w:numId="11">
    <w:abstractNumId w:val="2"/>
  </w:num>
  <w:num w:numId="12">
    <w:abstractNumId w:val="1"/>
  </w:num>
  <w:num w:numId="13">
    <w:abstractNumId w:val="11"/>
    <w:lvlOverride w:ilvl="1">
      <w:startOverride w:val="2"/>
    </w:lvlOverride>
  </w:num>
  <w:num w:numId="14">
    <w:abstractNumId w:val="6"/>
  </w:num>
  <w:num w:numId="15">
    <w:abstractNumId w:val="4"/>
  </w:num>
  <w:num w:numId="16">
    <w:abstractNumId w:val="11"/>
    <w:lvlOverride w:ilvl="0">
      <w:startOverride w:val="4"/>
    </w:lvlOverride>
  </w:num>
  <w:num w:numId="17">
    <w:abstractNumId w:val="10"/>
  </w:num>
  <w:num w:numId="18">
    <w:abstractNumId w:val="5"/>
  </w:num>
  <w:num w:numId="19">
    <w:abstractNumId w:val="11"/>
    <w:lvlOverride w:ilvl="1">
      <w:startOverride w:val="8"/>
    </w:lvlOverride>
  </w:num>
  <w:num w:numId="20">
    <w:abstractNumId w:val="11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ocumentProtection w:edit="forms" w:enforcement="1" w:cryptProviderType="rsaAES" w:cryptAlgorithmClass="hash" w:cryptAlgorithmType="typeAny" w:cryptAlgorithmSid="14" w:cryptSpinCount="100000" w:hash="qY7/uN84DRcvLDZiEEgvk5TSTf8Hn0C6SNIFnAjITUvxAer7SiFD857jCE/aedyzIcS5WnRg0vwV/puQiODfKw==" w:salt="0Z6+h34Fg2sDgAi/YAh4Ow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EE5"/>
    <w:rsid w:val="002A5B28"/>
    <w:rsid w:val="00472EE5"/>
    <w:rsid w:val="00B63891"/>
    <w:rsid w:val="00E1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1CABDA8"/>
  <w15:docId w15:val="{F43CD57D-DFF1-7F4B-8337-BDA5E16C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character" w:customStyle="1" w:styleId="Link">
    <w:name w:val="Link"/>
    <w:rPr>
      <w:color w:val="0563C1"/>
      <w:u w:val="single" w:color="0563C1"/>
    </w:rPr>
  </w:style>
  <w:style w:type="character" w:customStyle="1" w:styleId="Hyperlink0">
    <w:name w:val="Hyperlink.0"/>
    <w:basedOn w:val="Link"/>
    <w:rPr>
      <w:color w:val="0563C1"/>
      <w:u w:val="single" w:color="0563C1"/>
      <w:lang w:val="en-US"/>
    </w:rPr>
  </w:style>
  <w:style w:type="numbering" w:customStyle="1" w:styleId="ImportedStyle3">
    <w:name w:val="Imported Style 3"/>
    <w:pPr>
      <w:numPr>
        <w:numId w:val="7"/>
      </w:numPr>
    </w:pPr>
  </w:style>
  <w:style w:type="numbering" w:customStyle="1" w:styleId="ImportedStyle4">
    <w:name w:val="Imported Style 4"/>
    <w:pPr>
      <w:numPr>
        <w:numId w:val="11"/>
      </w:numPr>
    </w:pPr>
  </w:style>
  <w:style w:type="numbering" w:customStyle="1" w:styleId="ImportedStyle5">
    <w:name w:val="Imported Style 5"/>
    <w:pPr>
      <w:numPr>
        <w:numId w:val="14"/>
      </w:numPr>
    </w:pPr>
  </w:style>
  <w:style w:type="numbering" w:customStyle="1" w:styleId="ImportedStyle6">
    <w:name w:val="Imported Style 6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unhideWhenUsed/>
    <w:rsid w:val="00E16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801"/>
    <w:rPr>
      <w:rFonts w:ascii="Calibri" w:hAnsi="Calibri" w:cs="Arial Unicode MS"/>
      <w:color w:val="000000"/>
      <w:sz w:val="22"/>
      <w:szCs w:val="22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E16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801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tackom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mcais.ru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1995</Words>
  <Characters>11376</Characters>
  <Application>Microsoft Office Word</Application>
  <DocSecurity>0</DocSecurity>
  <Lines>94</Lines>
  <Paragraphs>26</Paragraphs>
  <ScaleCrop>false</ScaleCrop>
  <Company/>
  <LinksUpToDate>false</LinksUpToDate>
  <CharactersWithSpaces>13345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2019-01-16T13:22:00Z</dcterms:created>
  <dcterms:modified xsi:type="dcterms:W3CDTF">2019-01-16T13:23:00Z</dcterms:modified>
</cp:coreProperties>
</file>